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5AADC">
      <w:pPr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color w:val="212529"/>
          <w:spacing w:val="0"/>
          <w:sz w:val="26"/>
          <w:szCs w:val="26"/>
          <w:shd w:val="clear" w:fill="FFFFFF"/>
        </w:rPr>
      </w:pPr>
      <w:r>
        <w:rPr>
          <w:rFonts w:ascii="Segoe UI" w:hAnsi="Segoe UI" w:eastAsia="Segoe UI" w:cs="Segoe UI"/>
          <w:b/>
          <w:bCs/>
          <w:i w:val="0"/>
          <w:iCs w:val="0"/>
          <w:caps w:val="0"/>
          <w:color w:val="212529"/>
          <w:spacing w:val="0"/>
          <w:sz w:val="26"/>
          <w:szCs w:val="26"/>
          <w:shd w:val="clear" w:fill="FFFFFF"/>
        </w:rPr>
        <w:t>云计算服务标准符合性评估实施细则 （2020年修订版）</w:t>
      </w:r>
    </w:p>
    <w:p w14:paraId="0302E8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为做好云计算服务能力标准符合性评估工作，中国电子工业标准化技术协会信息技术服务分会（以下称ITSS分会）依据《信息技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术服务标准（ITSS）符合性评估管理办法》，制定本实施细则。</w:t>
      </w:r>
    </w:p>
    <w:p w14:paraId="33F569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一、适用范围</w:t>
      </w:r>
    </w:p>
    <w:p w14:paraId="4B6976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（一）本实施细则适用于云计算服务单位依据《信息技术 云计算 云服务运营通用要求》（以下称通用要求）和云计算服务能力指标体系开展的符合性评估。</w:t>
      </w:r>
    </w:p>
    <w:p w14:paraId="1BBFD1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（二）云计算服务能力标准符合性评估包括IaaS（分为公有云和私有云）、SaaS等。依据能力指标（分级指标ITSS分会另行发布），分为以下不同等级，其中：</w:t>
      </w:r>
    </w:p>
    <w:p w14:paraId="0F0F29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IaaS能力评估分为四个等级，从低到高依次为：初始级（四级）、基础级（三级）、增强级（二级）、引领级（一级）。</w:t>
      </w:r>
    </w:p>
    <w:p w14:paraId="74114B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SaaS能力评估分为三个等级，从低到高依次为：基础级（三级）、增强级（二级）、引领级（一级）。</w:t>
      </w:r>
    </w:p>
    <w:p w14:paraId="4E7EBB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二、相关职责</w:t>
      </w:r>
    </w:p>
    <w:p w14:paraId="6FDBB5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（一）ITSS分会负责组织管理云计算服务能力标准符合性评估活动，并确认评估结果；</w:t>
      </w:r>
    </w:p>
    <w:p w14:paraId="47C3C5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二）评估机构分为行业级评估机构、地方级评估机构。行业级评估机构可在中国境内受理IaaS的一级、二级、三级和SaaS的一级、二级、三级的评估申请。地方级评估机构在本地区受理IaaS的三级、四级和SaaS的三级评估申请。</w:t>
      </w:r>
    </w:p>
    <w:p w14:paraId="311D6A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三、申请条件</w:t>
      </w:r>
    </w:p>
    <w:p w14:paraId="675D1D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（一）四级申请单位应具备下列基本条件：</w:t>
      </w:r>
    </w:p>
    <w:p w14:paraId="16859B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1．具有独立法人地位；</w:t>
      </w:r>
    </w:p>
    <w:p w14:paraId="36B3EB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2．已按照通用要求和四级指标体系建立了云计算服务能力体系，且有效运行6个月以上；</w:t>
      </w:r>
    </w:p>
    <w:p w14:paraId="5AC17A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3．能够提供云计算服务能力管理、人员、资源、技术和过程等方面的有效证据。</w:t>
      </w:r>
    </w:p>
    <w:p w14:paraId="52BCA2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（二）三级申请单位应具备下列基本条件：</w:t>
      </w:r>
    </w:p>
    <w:p w14:paraId="3B2C16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1.具有独立法人地位；</w:t>
      </w:r>
    </w:p>
    <w:p w14:paraId="37D498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2.已按照通用要求和三级指标体系要求建立了云计算服务能力体系，且有效运行6个月以上；</w:t>
      </w:r>
    </w:p>
    <w:p w14:paraId="6BC2D1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3.能够提供云计算服务能力管理、人员、资源、技术和过程等方面的有效证据。</w:t>
      </w:r>
    </w:p>
    <w:p w14:paraId="6D93FA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（三）二级的申请单位应具备下列基本条件：</w:t>
      </w:r>
    </w:p>
    <w:p w14:paraId="003C9A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1.持有三级证书满1年以上；</w:t>
      </w:r>
    </w:p>
    <w:p w14:paraId="200F86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2.已按照通用要求和二级指标体系要求建立了云计算服务能力体系，且有效运行6个月以上；</w:t>
      </w:r>
    </w:p>
    <w:p w14:paraId="10AF1E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3.能够提供云计算服务能力管理、人员、资源、技术和过程等方面的有效证据。</w:t>
      </w:r>
    </w:p>
    <w:p w14:paraId="5A44E6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（四）一级的申请单位应具备下列基本条件：</w:t>
      </w:r>
    </w:p>
    <w:p w14:paraId="0B80C9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1．持有二级证书满1年以上；</w:t>
      </w:r>
    </w:p>
    <w:p w14:paraId="6D5581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2．已按照通用要求和一级指标体系要求建立了云计算服务能力体系，且有效运行6个月以上；</w:t>
      </w:r>
    </w:p>
    <w:p w14:paraId="6DD2DE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3．能够提供云计算能力管理、人员、资源、技术和过程等方面的有效证据。</w:t>
      </w:r>
    </w:p>
    <w:p w14:paraId="7768F4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四、申请事项</w:t>
      </w:r>
    </w:p>
    <w:p w14:paraId="3DED8B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（一）初次申请</w:t>
      </w:r>
    </w:p>
    <w:p w14:paraId="69F0FA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1.初次申请包括以下事项：</w:t>
      </w:r>
    </w:p>
    <w:p w14:paraId="223BDE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（1）IaaS（含公有云和私有云）的四级申请；</w:t>
      </w:r>
    </w:p>
    <w:p w14:paraId="337858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（2）SaaS的三级申请。</w:t>
      </w:r>
    </w:p>
    <w:p w14:paraId="76E422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2.申请单位应向评估机构提交相应的《云计算服务能力标准符合性评估申请表》（以下称《申请表》）及附件材料。提交材料的具体要求，详见《申请表》。</w:t>
      </w:r>
    </w:p>
    <w:p w14:paraId="2E9F56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（二）监督评估申请</w:t>
      </w:r>
    </w:p>
    <w:p w14:paraId="3C9E6A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1.监督评估申请包括首次监督评估申请和二次监督评估申请。获证单位应在自获证之日起，9个月至12个月之间完成首次监督评估。获证单位应在自获证之日起，21个月至24个月之间完成二次监督评估。</w:t>
      </w:r>
    </w:p>
    <w:p w14:paraId="62014C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2.监督评估应由获证单位所持证书上标识的评估机构实施。</w:t>
      </w:r>
    </w:p>
    <w:p w14:paraId="659D22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3.一次监督评估的覆盖范围应不少于标准的二分之一，首次监督和二次监督的覆盖范围应是相应标准的全部。</w:t>
      </w:r>
    </w:p>
    <w:p w14:paraId="41007D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（三）再评估（换证）申请</w:t>
      </w:r>
    </w:p>
    <w:p w14:paraId="28DCF3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1. 再评估申请包括四级、三级、二级和一级证书有效期延续的申请。</w:t>
      </w:r>
    </w:p>
    <w:p w14:paraId="337FD6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2. 获证单位可在证书有效期期满前6个月申请再评估。</w:t>
      </w:r>
    </w:p>
    <w:p w14:paraId="14D9B0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3. 申请单位应向评估机构提交相应的《申请表》及附件材料。提交材料的具体要求，详见《申请表》。</w:t>
      </w:r>
    </w:p>
    <w:p w14:paraId="048026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（四）升级申请</w:t>
      </w:r>
    </w:p>
    <w:p w14:paraId="15DE4B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1、升级申请包括四级升三级、三级升二级、二级升一级的申请。</w:t>
      </w:r>
    </w:p>
    <w:p w14:paraId="6C52D0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2.申请单位应向评估机构提交相应的《云计算服务能力标准符合性评估申请表》（以下称《申请表》）及附件材料。提交材料的具体要求，详见《申请表》。</w:t>
      </w:r>
    </w:p>
    <w:p w14:paraId="409BAE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3.因未通过再评估被降级的单位申请升级，可在获证之日起满6个月后申请升级（四级升三级除外）。</w:t>
      </w:r>
    </w:p>
    <w:p w14:paraId="5955D9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（五）整改申请</w:t>
      </w:r>
    </w:p>
    <w:p w14:paraId="1B4A83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1.下列未通过专家评审会的申请单位，可申请整改1次。整改完成后再提交：</w:t>
      </w:r>
    </w:p>
    <w:p w14:paraId="5C8F4B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（1）二级的初次申请；</w:t>
      </w:r>
    </w:p>
    <w:p w14:paraId="254CD2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（2）二级的再评估。</w:t>
      </w:r>
    </w:p>
    <w:p w14:paraId="4474CB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2.整改后由评估机构再次提交申请的材料包括：</w:t>
      </w:r>
    </w:p>
    <w:p w14:paraId="5D7B0E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（1）全部申请材料和评估材料；</w:t>
      </w:r>
    </w:p>
    <w:p w14:paraId="2C218B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（2）根据专家评审意见完成的整改材料。</w:t>
      </w:r>
    </w:p>
    <w:p w14:paraId="46C7EB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（六）变更申请</w:t>
      </w:r>
    </w:p>
    <w:p w14:paraId="6EFDA7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1.获证单位发生下列一般变更事项，应在变更发生之日起30日内，向ITSS分会提交证书变更申请，ITSS分会核实无误后办理证书变更手续。</w:t>
      </w:r>
    </w:p>
    <w:p w14:paraId="12D948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（1）单位名称发生注册变更；</w:t>
      </w:r>
    </w:p>
    <w:p w14:paraId="255F4D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（2）单位住所发生跨省市的区域变更。</w:t>
      </w:r>
    </w:p>
    <w:p w14:paraId="6B9B6C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2.获证单位发生下列重大变更事项，应向ITSS分会提交证书变更申请。对符合变更要求的，ITSS分会组织变更评估，通过变更评估的换发新证书。</w:t>
      </w:r>
    </w:p>
    <w:p w14:paraId="6F063C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（1）单位主体发生分立、合并和重组等重大调整；</w:t>
      </w:r>
    </w:p>
    <w:p w14:paraId="1956B0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（2）从事云服务业务的单位主体发生重大调整。</w:t>
      </w:r>
    </w:p>
    <w:p w14:paraId="5D95B0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五、评估程序</w:t>
      </w:r>
    </w:p>
    <w:p w14:paraId="7FC34C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（一）评估机构应按照《信息技术服务标准（ITSS）符合性评估规范》受理申请，组建评估组并组织实施文件评审和现场评估。</w:t>
      </w:r>
    </w:p>
    <w:p w14:paraId="5E9082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（二）评估组的评估工作量应满足以下要求：</w:t>
      </w:r>
    </w:p>
    <w:p w14:paraId="1D0D0B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1.四级（含初次申请和再评估）现场评估工作量不少于3人日，总工作量不少于4人日；监督评估的现场评估工作量不少于1人日，总工作量不少于1.5人日。</w:t>
      </w:r>
    </w:p>
    <w:p w14:paraId="7F0381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2.三级（含初次申请和再评估）现场评估工作量不少于6人日，总工作量不少于9人日；监督评估的现场评估工作量不少于2人日，总工作量不少于3人日。</w:t>
      </w:r>
    </w:p>
    <w:p w14:paraId="1CA4FC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3.二级（含申请和再评估）现场评估工作量不少于9人日，总工作量不少于12人日；监督评估的现场评估工作量不少于3人日，总工作量不少于4人日。</w:t>
      </w:r>
    </w:p>
    <w:p w14:paraId="2C5AE4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4.一级（含初次申请和再评估）的现场评估工作量不少于12人日，总工作量不少于15人日；监督评估的现场评估工作量不少于4人日，总工作量不少于5人日。</w:t>
      </w:r>
    </w:p>
    <w:p w14:paraId="006FD8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（三）评估机构出具评估报告后，应向ITSS分会提交申请材料和评估材料，材料包括：</w:t>
      </w:r>
    </w:p>
    <w:p w14:paraId="204FBD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1.《申请表》及附件材料；</w:t>
      </w:r>
    </w:p>
    <w:p w14:paraId="5344C4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2.《云计算服务能力评估计划》；</w:t>
      </w:r>
    </w:p>
    <w:p w14:paraId="172C5A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3.《云计算服务能力评估检查表》；</w:t>
      </w:r>
    </w:p>
    <w:p w14:paraId="383B8B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4.《首次会议签到表》和《末次会议签到表》；</w:t>
      </w:r>
    </w:p>
    <w:p w14:paraId="4E7A21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5.《不符合项报告》及验证关闭记录；</w:t>
      </w:r>
    </w:p>
    <w:p w14:paraId="7EAC50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6.《云计算服务能力评估报告》；</w:t>
      </w:r>
    </w:p>
    <w:p w14:paraId="6A1E99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7. ITSS分会要求提交的其他材料。</w:t>
      </w:r>
    </w:p>
    <w:p w14:paraId="4C0D7D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六、结果确认</w:t>
      </w:r>
    </w:p>
    <w:p w14:paraId="0595A8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（一）确认方式</w:t>
      </w:r>
    </w:p>
    <w:p w14:paraId="7971C3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1．组织专家以材料审阅、现场答辩的方式对一级、二级初次申请和一级再评估进行综合评审和结果确认；</w:t>
      </w:r>
    </w:p>
    <w:p w14:paraId="00A4AE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2．组织专家以材料审阅方式对二级的再评估进行评审和结果确认；</w:t>
      </w:r>
    </w:p>
    <w:p w14:paraId="4EABF4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3．对三级、四级的初次申请和再评估，以及所有的监督评估进行复核和结果确认。</w:t>
      </w:r>
    </w:p>
    <w:p w14:paraId="2CD55A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（二）确认结果</w:t>
      </w:r>
    </w:p>
    <w:p w14:paraId="464DD5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1.通过</w:t>
      </w:r>
    </w:p>
    <w:p w14:paraId="6FFB7A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（1）对通过复核或专家评审的申请单位，ITSS分会在工作平台进行公示。</w:t>
      </w:r>
    </w:p>
    <w:p w14:paraId="7FC2A7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（2）ITSS分会确认结果，在工作平台进行公告。</w:t>
      </w:r>
    </w:p>
    <w:p w14:paraId="539D0C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（3）ITSS分会颁发《云计算服务能力标准符合性证书》（以下称《证书》）。</w:t>
      </w:r>
    </w:p>
    <w:p w14:paraId="04C698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2.整改和降级</w:t>
      </w:r>
    </w:p>
    <w:p w14:paraId="5E69FB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（1）选择整改应满足以下要求：</w:t>
      </w:r>
    </w:p>
    <w:p w14:paraId="256A85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1）整改周期至少3个月；</w:t>
      </w:r>
    </w:p>
    <w:p w14:paraId="362762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2）再次提交时，评估报告在有效期内；</w:t>
      </w:r>
    </w:p>
    <w:p w14:paraId="025DE7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3）专家评审会后，再评估申请单位的证书有效期不少于4个月；</w:t>
      </w:r>
    </w:p>
    <w:p w14:paraId="1361F2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（2）整改后仍未通过专家评审的二级再评估和一级再评估申请单位，可获得低一等级的证书。</w:t>
      </w:r>
    </w:p>
    <w:p w14:paraId="3198DD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3.暂停和注销</w:t>
      </w:r>
    </w:p>
    <w:p w14:paraId="6AB130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（1）逾期未完成监督评估（自获证之日起，12个月内未完成第一次监督评估或24个月内未完成第二次监督评估）的获证单位，证书暂停3个月。</w:t>
      </w:r>
    </w:p>
    <w:p w14:paraId="3B727F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（2）暂停3个月后仍未完成监督评估的，其证书自动注销。</w:t>
      </w:r>
    </w:p>
    <w:p w14:paraId="4F2E1B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（3）未完成再评估的获证单位，其证书到期后自动注销。</w:t>
      </w:r>
    </w:p>
    <w:p w14:paraId="6A40FE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七、其他相关事项</w:t>
      </w:r>
    </w:p>
    <w:p w14:paraId="7356C3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本实施细则由ITSS分会负责解释。</w:t>
      </w:r>
    </w:p>
    <w:p w14:paraId="5A953595">
      <w:pPr>
        <w:rPr>
          <w:rFonts w:ascii="Segoe UI" w:hAnsi="Segoe UI" w:eastAsia="Segoe UI" w:cs="Segoe UI"/>
          <w:b/>
          <w:bCs/>
          <w:i w:val="0"/>
          <w:iCs w:val="0"/>
          <w:caps w:val="0"/>
          <w:color w:val="212529"/>
          <w:spacing w:val="0"/>
          <w:sz w:val="26"/>
          <w:szCs w:val="2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E2067"/>
    <w:rsid w:val="606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2025-12-24T06:51:00Z</dcterms:created>
  <dc:creator>方冬冬</dc:creator>
  <cp:lastModifiedBy>方冬冬</cp:lastModifiedBy>
  <dcterms:modified xsi:type="dcterms:W3CDTF">2025-12-24T06:51:39Z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262C9D2387464542AE00CD1671325FC1_11</vt:lpwstr>
  </property>
  <property fmtid="{D5CDD505-2E9C-101B-9397-08002B2CF9AE}" pid="4" name="KSOTemplateDocerSaveRecord">
    <vt:lpwstr>eyJoZGlkIjoiYWI1NTk2YTQ3NmEwNjdlY2QyNDFlM2Y3YjZjMTUzNDYiLCJ1c2VySWQiOiI1ODg0NDczMTMifQ==</vt:lpwstr>
  </property>
</Properties>
</file>